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2023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Hans"/>
        </w:rPr>
        <w:t>年科技处工作计划</w:t>
      </w:r>
    </w:p>
    <w:p>
      <w:pPr>
        <w:jc w:val="center"/>
        <w:rPr>
          <w:rFonts w:hint="eastAsia"/>
          <w:lang w:val="en-US" w:eastAsia="zh-Hans"/>
        </w:rPr>
      </w:pP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2023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年是实现学校“十四五”规划承上启下的一年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学校科研发展要对照各项任务指标乘胜追击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坚持补短板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、强弱项、固底板、扬优势，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以有组织科研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全面科研的机制来激发全校教师科研潜力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推动学校科研工作再上新台阶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一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重点工作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.坚持目标导向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力争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“三高一费”新突破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推进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八种科研齐头并进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努力形成更多标志性成果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对高水平论文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高级别成果奖项等短板缺项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强化激励政策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加大培育力度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以学科为基础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引导学院对重点人群开展“项目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+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论文著作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+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成果奖项”三位一体的系统谋划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加强一站式指导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将资政报告采纳情况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专利技术等成果转化情况纳入年度学院考核目标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争取突破市厅级以上资政报告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成果转化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40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万元的目标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.加强有组织科研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不断完善学校科研相关政策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修订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科研工作考核办法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》《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科研工作量化计分办法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文件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全面评价教师科研业绩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突出高质量发展和全面科研指向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完善多维度全覆盖的科研评价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体系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.持续推进“三区联动”工作机制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在四个一的基础上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引导学院厚积“三区联动”服务强项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打造学院产学研合作的特色亮点项目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如科技副总计划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）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实现横向经费稳步增长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推动与政府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企业的联合科研项目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.提升校级科研平台建设成效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组织科研平台相互借鉴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进行交叉科研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跨学科科研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加强对校级科研平台的过程性管理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实施学术月例会制度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督促年度建设任务保质保量完成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.推动高层次柔性引进人才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学术带头人发挥科研优势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继续做好柔性引进人才年度科研任务落实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对引进的学术带头人对应学科方向实施专项科研行动计划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开展跨单位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跨部门科研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.提前谋划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及早部署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有序推进全年高级别项目申报和预申报工作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夯实国家级项目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省部级项目的申报存量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同时有针对性地对青年项目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后期项目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产学研项目进行引导和设计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提高立项概率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.推进办学系统科研工作一体化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继续做好科研平台分中心建设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项目成果申报共享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组织市县开大科研专项调研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开好年度科研工作联席会议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加强市县开大交流联系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.开展高级别成果奖项申报和培育工作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结合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2023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年度省科技进步奖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教育部自然科学和人文社科成果奖的申报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梳理成果基础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尝试开展联合申报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继续做好厅局级成果奖申报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努力提高获奖级别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.加大学校特色科研力度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发挥校级课题对特色科研的培育效用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在学科专项中增加跨学科研究课题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建立以问题为中心的科研模式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.配合做好对科技处的巡察工作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落实每一项整改措施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按照时间进度整改到位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提升部门工作面貌和服务成效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ind w:firstLine="560"/>
        <w:jc w:val="both"/>
        <w:rPr>
          <w:rFonts w:hint="eastAsia" w:ascii="黑体" w:hAnsi="黑体" w:eastAsia="黑体" w:cs="黑体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二</w:t>
      </w:r>
      <w:r>
        <w:rPr>
          <w:rFonts w:hint="default" w:ascii="黑体" w:hAnsi="黑体" w:eastAsia="黑体" w:cs="黑体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常规工作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.开展各级各类科研项目全过程管理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做好中检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结项工作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.组织全校性的学术交流活动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浓厚科研氛围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.完善科研管理信息系统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成果审核和认定工作常态化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.完成上级和学校其他部门的科研相关统计工作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.落实校社科联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校科协和校学术委员会秘书处相关工作</w:t>
      </w:r>
    </w:p>
    <w:p>
      <w:pPr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.强化日常工作中的科研诚信教育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意识形态责任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58A5"/>
    <w:rsid w:val="7DFDBA92"/>
    <w:rsid w:val="917FDD86"/>
    <w:rsid w:val="FDFD58A5"/>
    <w:rsid w:val="FFEFA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2023-01-10T21:24:00Z</dcterms:created>
  <dc:creator>虞晓骏</dc:creator>
  <cp:lastModifiedBy>虞晓骏</cp:lastModifiedBy>
  <dcterms:modified xsi:type="dcterms:W3CDTF">2023-01-10T23:52:20Z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C42DC6D03EC75A722767BD63736FE664</vt:lpwstr>
  </property>
</Properties>
</file>